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63F81" w14:textId="0CF82689" w:rsidR="008D5554" w:rsidRDefault="0025498C">
      <w:r w:rsidRPr="008736AF">
        <w:rPr>
          <w:rFonts w:ascii="Times New Roman" w:hAnsi="Times New Roman"/>
          <w:noProof/>
          <w:sz w:val="32"/>
          <w:szCs w:val="32"/>
        </w:rPr>
        <w:drawing>
          <wp:inline distT="0" distB="0" distL="0" distR="0" wp14:anchorId="3E4A4FCF" wp14:editId="43E47AA9">
            <wp:extent cx="1123950" cy="228600"/>
            <wp:effectExtent l="0" t="0" r="0" b="0"/>
            <wp:docPr id="1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0F574" w14:textId="77777777" w:rsidR="0025498C" w:rsidRPr="008736AF" w:rsidRDefault="0025498C" w:rsidP="0025498C">
      <w:pPr>
        <w:spacing w:line="520" w:lineRule="exact"/>
        <w:jc w:val="center"/>
        <w:rPr>
          <w:rFonts w:ascii="Times New Roman" w:eastAsia="微軟正黑體" w:hAnsi="Times New Roman"/>
          <w:sz w:val="32"/>
          <w:szCs w:val="32"/>
        </w:rPr>
      </w:pPr>
      <w:r w:rsidRPr="008736AF">
        <w:rPr>
          <w:rFonts w:ascii="Times New Roman" w:eastAsia="微軟正黑體" w:hAnsi="Times New Roman"/>
          <w:b/>
          <w:bCs/>
          <w:sz w:val="32"/>
          <w:szCs w:val="32"/>
        </w:rPr>
        <w:t>國家發展委員會</w:t>
      </w:r>
      <w:r w:rsidRPr="008736AF">
        <w:rPr>
          <w:rFonts w:ascii="Times New Roman" w:eastAsia="微軟正黑體" w:hAnsi="Times New Roman"/>
          <w:b/>
          <w:bCs/>
          <w:sz w:val="32"/>
          <w:szCs w:val="32"/>
        </w:rPr>
        <w:t xml:space="preserve"> </w:t>
      </w:r>
      <w:r w:rsidRPr="008736AF">
        <w:rPr>
          <w:rFonts w:ascii="Times New Roman" w:eastAsia="微軟正黑體" w:hAnsi="Times New Roman"/>
          <w:b/>
          <w:bCs/>
          <w:sz w:val="32"/>
          <w:szCs w:val="32"/>
        </w:rPr>
        <w:t>新聞稿</w:t>
      </w:r>
    </w:p>
    <w:p w14:paraId="783F679B" w14:textId="3C9A75E3" w:rsidR="0025498C" w:rsidRPr="000D3912" w:rsidRDefault="0025498C" w:rsidP="0025498C">
      <w:pPr>
        <w:spacing w:after="200"/>
        <w:jc w:val="center"/>
        <w:rPr>
          <w:rFonts w:ascii="Times New Roman" w:eastAsia="微軟正黑體" w:hAnsi="Times New Roman" w:cs="Times New Roman"/>
          <w:b/>
          <w:bCs/>
          <w:kern w:val="0"/>
          <w:sz w:val="36"/>
          <w:szCs w:val="36"/>
        </w:rPr>
      </w:pPr>
      <w:r w:rsidRPr="000D3912">
        <w:rPr>
          <w:rFonts w:ascii="Times New Roman" w:eastAsia="微軟正黑體" w:hAnsi="Times New Roman" w:cs="Times New Roman" w:hint="eastAsia"/>
          <w:b/>
          <w:bCs/>
          <w:kern w:val="0"/>
          <w:sz w:val="36"/>
          <w:szCs w:val="36"/>
        </w:rPr>
        <w:t>我國發布</w:t>
      </w:r>
      <w:r w:rsidRPr="000D3912">
        <w:rPr>
          <w:rFonts w:ascii="Times New Roman" w:eastAsia="微軟正黑體" w:hAnsi="Times New Roman" w:cs="Times New Roman"/>
          <w:b/>
          <w:bCs/>
          <w:kern w:val="0"/>
          <w:sz w:val="36"/>
          <w:szCs w:val="36"/>
        </w:rPr>
        <w:t>第三部</w:t>
      </w:r>
      <w:r w:rsidRPr="000D3912">
        <w:rPr>
          <w:rFonts w:ascii="Times New Roman" w:eastAsia="微軟正黑體" w:hAnsi="Times New Roman" w:cs="Times New Roman"/>
          <w:b/>
          <w:bCs/>
          <w:kern w:val="0"/>
          <w:sz w:val="36"/>
          <w:szCs w:val="36"/>
        </w:rPr>
        <w:t xml:space="preserve">VNR </w:t>
      </w:r>
      <w:r w:rsidRPr="000D3912">
        <w:rPr>
          <w:rFonts w:ascii="Times New Roman" w:eastAsia="微軟正黑體" w:hAnsi="Times New Roman" w:cs="Times New Roman"/>
          <w:b/>
          <w:bCs/>
          <w:kern w:val="0"/>
          <w:sz w:val="36"/>
          <w:szCs w:val="36"/>
        </w:rPr>
        <w:t>穩</w:t>
      </w:r>
      <w:r w:rsidR="008421AA" w:rsidRPr="000D3912">
        <w:rPr>
          <w:rFonts w:ascii="Times New Roman" w:eastAsia="微軟正黑體" w:hAnsi="Times New Roman" w:cs="Times New Roman" w:hint="eastAsia"/>
          <w:b/>
          <w:bCs/>
          <w:kern w:val="0"/>
          <w:sz w:val="36"/>
          <w:szCs w:val="36"/>
        </w:rPr>
        <w:t>步推動國家永續發展</w:t>
      </w:r>
    </w:p>
    <w:p w14:paraId="5FC0AAD2" w14:textId="2C47CD82" w:rsidR="0025498C" w:rsidRPr="0025498C" w:rsidRDefault="0025498C" w:rsidP="0025498C">
      <w:pPr>
        <w:spacing w:line="480" w:lineRule="exact"/>
        <w:ind w:right="84"/>
        <w:rPr>
          <w:rFonts w:ascii="Times New Roman" w:eastAsia="微軟正黑體" w:hAnsi="Times New Roman" w:cs="Times New Roman"/>
          <w:bCs/>
          <w:kern w:val="0"/>
          <w:sz w:val="28"/>
          <w:szCs w:val="28"/>
        </w:rPr>
      </w:pPr>
      <w:r w:rsidRPr="0025498C">
        <w:rPr>
          <w:rFonts w:ascii="Times New Roman" w:eastAsia="微軟正黑體" w:hAnsi="Times New Roman" w:cs="Times New Roman"/>
          <w:bCs/>
          <w:kern w:val="0"/>
          <w:sz w:val="28"/>
          <w:szCs w:val="28"/>
        </w:rPr>
        <w:t>發布日期：</w:t>
      </w:r>
      <w:r w:rsidRPr="0025498C">
        <w:rPr>
          <w:rFonts w:ascii="Times New Roman" w:eastAsia="微軟正黑體" w:hAnsi="Times New Roman" w:cs="Times New Roman"/>
          <w:bCs/>
          <w:kern w:val="0"/>
          <w:sz w:val="28"/>
          <w:szCs w:val="28"/>
        </w:rPr>
        <w:t>115</w:t>
      </w:r>
      <w:r w:rsidRPr="0025498C">
        <w:rPr>
          <w:rFonts w:ascii="Times New Roman" w:eastAsia="微軟正黑體" w:hAnsi="Times New Roman" w:cs="Times New Roman"/>
          <w:bCs/>
          <w:kern w:val="0"/>
          <w:sz w:val="28"/>
          <w:szCs w:val="28"/>
        </w:rPr>
        <w:t>年</w:t>
      </w:r>
      <w:r w:rsidR="0009063D">
        <w:rPr>
          <w:rFonts w:ascii="Times New Roman" w:eastAsia="微軟正黑體" w:hAnsi="Times New Roman" w:cs="Times New Roman" w:hint="eastAsia"/>
          <w:bCs/>
          <w:kern w:val="0"/>
          <w:sz w:val="28"/>
          <w:szCs w:val="28"/>
        </w:rPr>
        <w:t>1</w:t>
      </w:r>
      <w:r w:rsidR="0009063D">
        <w:rPr>
          <w:rFonts w:ascii="Times New Roman" w:eastAsia="微軟正黑體" w:hAnsi="Times New Roman" w:cs="Times New Roman"/>
          <w:bCs/>
          <w:kern w:val="0"/>
          <w:sz w:val="28"/>
          <w:szCs w:val="28"/>
        </w:rPr>
        <w:t>0</w:t>
      </w:r>
      <w:r w:rsidRPr="0025498C">
        <w:rPr>
          <w:rFonts w:ascii="Times New Roman" w:eastAsia="微軟正黑體" w:hAnsi="Times New Roman" w:cs="Times New Roman"/>
          <w:bCs/>
          <w:kern w:val="0"/>
          <w:sz w:val="28"/>
          <w:szCs w:val="28"/>
        </w:rPr>
        <w:t>月</w:t>
      </w:r>
      <w:r w:rsidR="00523273">
        <w:rPr>
          <w:rFonts w:ascii="Times New Roman" w:eastAsia="微軟正黑體" w:hAnsi="Times New Roman" w:cs="Times New Roman"/>
          <w:bCs/>
          <w:kern w:val="0"/>
          <w:sz w:val="28"/>
          <w:szCs w:val="28"/>
        </w:rPr>
        <w:t>21</w:t>
      </w:r>
      <w:r w:rsidRPr="0025498C">
        <w:rPr>
          <w:rFonts w:ascii="Times New Roman" w:eastAsia="微軟正黑體" w:hAnsi="Times New Roman" w:cs="Times New Roman"/>
          <w:bCs/>
          <w:kern w:val="0"/>
          <w:sz w:val="28"/>
          <w:szCs w:val="28"/>
        </w:rPr>
        <w:t>日</w:t>
      </w:r>
    </w:p>
    <w:p w14:paraId="7D66165F" w14:textId="77777777" w:rsidR="0025498C" w:rsidRPr="0025498C" w:rsidRDefault="0025498C" w:rsidP="0025498C">
      <w:pPr>
        <w:spacing w:line="480" w:lineRule="exact"/>
        <w:ind w:right="84"/>
        <w:rPr>
          <w:rFonts w:ascii="Times New Roman" w:eastAsia="微軟正黑體" w:hAnsi="Times New Roman" w:cs="Times New Roman"/>
          <w:bCs/>
          <w:kern w:val="0"/>
          <w:sz w:val="28"/>
          <w:szCs w:val="28"/>
        </w:rPr>
      </w:pPr>
      <w:r w:rsidRPr="0025498C">
        <w:rPr>
          <w:rFonts w:ascii="Times New Roman" w:eastAsia="微軟正黑體" w:hAnsi="Times New Roman" w:cs="Times New Roman"/>
          <w:bCs/>
          <w:kern w:val="0"/>
          <w:sz w:val="28"/>
          <w:szCs w:val="28"/>
        </w:rPr>
        <w:t>發布單位：經濟發展處</w:t>
      </w:r>
    </w:p>
    <w:p w14:paraId="388587DD" w14:textId="4B7DF2A9" w:rsidR="008421AA" w:rsidRDefault="008421AA" w:rsidP="008421AA">
      <w:pPr>
        <w:pStyle w:val="k02"/>
        <w:tabs>
          <w:tab w:val="left" w:pos="680"/>
        </w:tabs>
        <w:spacing w:beforeLines="50" w:before="180" w:afterLines="50" w:after="180" w:line="540" w:lineRule="exact"/>
        <w:ind w:firstLineChars="200" w:firstLine="640"/>
        <w:rPr>
          <w:rFonts w:eastAsia="微軟正黑體"/>
          <w:sz w:val="32"/>
          <w:szCs w:val="32"/>
        </w:rPr>
      </w:pPr>
      <w:r w:rsidRPr="008421AA">
        <w:rPr>
          <w:rFonts w:eastAsia="微軟正黑體" w:hint="eastAsia"/>
          <w:sz w:val="32"/>
          <w:szCs w:val="32"/>
        </w:rPr>
        <w:t>行政院國家永續發展委員會今（</w:t>
      </w:r>
      <w:r w:rsidRPr="008421AA">
        <w:rPr>
          <w:rFonts w:eastAsia="微軟正黑體" w:hint="eastAsia"/>
          <w:sz w:val="32"/>
          <w:szCs w:val="32"/>
        </w:rPr>
        <w:t>21</w:t>
      </w:r>
      <w:r w:rsidRPr="008421AA">
        <w:rPr>
          <w:rFonts w:eastAsia="微軟正黑體" w:hint="eastAsia"/>
          <w:sz w:val="32"/>
          <w:szCs w:val="32"/>
        </w:rPr>
        <w:t>）日發布我國第三部《國家自願檢視報告》（</w:t>
      </w:r>
      <w:r w:rsidRPr="008421AA">
        <w:rPr>
          <w:rFonts w:eastAsia="微軟正黑體" w:hint="eastAsia"/>
          <w:sz w:val="32"/>
          <w:szCs w:val="32"/>
        </w:rPr>
        <w:t>Voluntary National Review, VNR</w:t>
      </w:r>
      <w:r w:rsidRPr="008421AA">
        <w:rPr>
          <w:rFonts w:eastAsia="微軟正黑體" w:hint="eastAsia"/>
          <w:sz w:val="32"/>
          <w:szCs w:val="32"/>
        </w:rPr>
        <w:t>），全面檢視我國落實聯合國《</w:t>
      </w:r>
      <w:r w:rsidRPr="008421AA">
        <w:rPr>
          <w:rFonts w:eastAsia="微軟正黑體" w:hint="eastAsia"/>
          <w:sz w:val="32"/>
          <w:szCs w:val="32"/>
        </w:rPr>
        <w:t>2030</w:t>
      </w:r>
      <w:r w:rsidRPr="008421AA">
        <w:rPr>
          <w:rFonts w:eastAsia="微軟正黑體" w:hint="eastAsia"/>
          <w:sz w:val="32"/>
          <w:szCs w:val="32"/>
        </w:rPr>
        <w:t>年永續發展議程》之進展與挑戰。臺灣分別於</w:t>
      </w:r>
      <w:r w:rsidRPr="008421AA">
        <w:rPr>
          <w:rFonts w:eastAsia="微軟正黑體" w:hint="eastAsia"/>
          <w:sz w:val="32"/>
          <w:szCs w:val="32"/>
        </w:rPr>
        <w:t>2017</w:t>
      </w:r>
      <w:r w:rsidRPr="008421AA">
        <w:rPr>
          <w:rFonts w:eastAsia="微軟正黑體" w:hint="eastAsia"/>
          <w:sz w:val="32"/>
          <w:szCs w:val="32"/>
        </w:rPr>
        <w:t>年、</w:t>
      </w:r>
      <w:r w:rsidRPr="008421AA">
        <w:rPr>
          <w:rFonts w:eastAsia="微軟正黑體" w:hint="eastAsia"/>
          <w:sz w:val="32"/>
          <w:szCs w:val="32"/>
        </w:rPr>
        <w:t>2022</w:t>
      </w:r>
      <w:r w:rsidRPr="008421AA">
        <w:rPr>
          <w:rFonts w:eastAsia="微軟正黑體" w:hint="eastAsia"/>
          <w:sz w:val="32"/>
          <w:szCs w:val="32"/>
        </w:rPr>
        <w:t>年及</w:t>
      </w:r>
      <w:r w:rsidRPr="008421AA">
        <w:rPr>
          <w:rFonts w:eastAsia="微軟正黑體" w:hint="eastAsia"/>
          <w:sz w:val="32"/>
          <w:szCs w:val="32"/>
        </w:rPr>
        <w:t>2026</w:t>
      </w:r>
      <w:r w:rsidRPr="008421AA">
        <w:rPr>
          <w:rFonts w:eastAsia="微軟正黑體" w:hint="eastAsia"/>
          <w:sz w:val="32"/>
          <w:szCs w:val="32"/>
        </w:rPr>
        <w:t>年發布</w:t>
      </w:r>
      <w:r w:rsidRPr="008421AA">
        <w:rPr>
          <w:rFonts w:eastAsia="微軟正黑體" w:hint="eastAsia"/>
          <w:sz w:val="32"/>
          <w:szCs w:val="32"/>
        </w:rPr>
        <w:t>VNR</w:t>
      </w:r>
      <w:r w:rsidRPr="008421AA">
        <w:rPr>
          <w:rFonts w:eastAsia="微軟正黑體" w:hint="eastAsia"/>
          <w:sz w:val="32"/>
          <w:szCs w:val="32"/>
        </w:rPr>
        <w:t>，逐步建立年度追蹤、階段性檢討，以及中央部會與地方政府自願檢視等制度。截至</w:t>
      </w:r>
      <w:r w:rsidRPr="008421AA">
        <w:rPr>
          <w:rFonts w:eastAsia="微軟正黑體" w:hint="eastAsia"/>
          <w:sz w:val="32"/>
          <w:szCs w:val="32"/>
        </w:rPr>
        <w:t>2024</w:t>
      </w:r>
      <w:r w:rsidRPr="008421AA">
        <w:rPr>
          <w:rFonts w:eastAsia="微軟正黑體" w:hint="eastAsia"/>
          <w:sz w:val="32"/>
          <w:szCs w:val="32"/>
        </w:rPr>
        <w:t>年，</w:t>
      </w:r>
      <w:r w:rsidRPr="008421AA">
        <w:rPr>
          <w:rFonts w:eastAsia="微軟正黑體" w:hint="eastAsia"/>
          <w:sz w:val="32"/>
          <w:szCs w:val="32"/>
        </w:rPr>
        <w:t>337</w:t>
      </w:r>
      <w:r w:rsidRPr="008421AA">
        <w:rPr>
          <w:rFonts w:eastAsia="微軟正黑體" w:hint="eastAsia"/>
          <w:sz w:val="32"/>
          <w:szCs w:val="32"/>
        </w:rPr>
        <w:t>項臺灣永續發展指標中，已有</w:t>
      </w:r>
      <w:r w:rsidRPr="008421AA">
        <w:rPr>
          <w:rFonts w:eastAsia="微軟正黑體" w:hint="eastAsia"/>
          <w:sz w:val="32"/>
          <w:szCs w:val="32"/>
        </w:rPr>
        <w:t>84.8%</w:t>
      </w:r>
      <w:r w:rsidRPr="008421AA">
        <w:rPr>
          <w:rFonts w:eastAsia="微軟正黑體" w:hint="eastAsia"/>
          <w:sz w:val="32"/>
          <w:szCs w:val="32"/>
        </w:rPr>
        <w:t>符合預定進度。</w:t>
      </w:r>
      <w:r w:rsidR="002C5D1A" w:rsidRPr="002C5D1A">
        <w:rPr>
          <w:rFonts w:eastAsia="微軟正黑體" w:hint="eastAsia"/>
          <w:sz w:val="32"/>
          <w:szCs w:val="32"/>
        </w:rPr>
        <w:t>本次</w:t>
      </w:r>
      <w:r w:rsidR="002C5D1A" w:rsidRPr="002C5D1A">
        <w:rPr>
          <w:rFonts w:eastAsia="微軟正黑體" w:hint="eastAsia"/>
          <w:sz w:val="32"/>
          <w:szCs w:val="32"/>
        </w:rPr>
        <w:t>VNR</w:t>
      </w:r>
      <w:r w:rsidR="002C5D1A" w:rsidRPr="002C5D1A">
        <w:rPr>
          <w:rFonts w:eastAsia="微軟正黑體" w:hint="eastAsia"/>
          <w:sz w:val="32"/>
          <w:szCs w:val="32"/>
        </w:rPr>
        <w:t>從永續治理機制，以及經濟、社會、環境及國際合作四大面向，全面檢視我國永續發展成果。</w:t>
      </w:r>
    </w:p>
    <w:p w14:paraId="5C8DC484" w14:textId="1FC3E33B" w:rsidR="003A5586" w:rsidRPr="003A5586" w:rsidRDefault="003A5586" w:rsidP="003A5586">
      <w:pPr>
        <w:pStyle w:val="k02"/>
        <w:tabs>
          <w:tab w:val="left" w:pos="680"/>
        </w:tabs>
        <w:spacing w:beforeLines="50" w:before="180" w:afterLines="50" w:after="180" w:line="540" w:lineRule="exact"/>
        <w:ind w:firstLine="0"/>
        <w:rPr>
          <w:rFonts w:eastAsia="微軟正黑體"/>
          <w:b/>
          <w:bCs/>
          <w:sz w:val="32"/>
          <w:szCs w:val="32"/>
        </w:rPr>
      </w:pPr>
      <w:r>
        <w:rPr>
          <w:rFonts w:eastAsia="微軟正黑體" w:hint="eastAsia"/>
          <w:b/>
          <w:bCs/>
          <w:sz w:val="32"/>
          <w:szCs w:val="32"/>
        </w:rPr>
        <w:t>一、</w:t>
      </w:r>
      <w:r w:rsidRPr="003A5586">
        <w:rPr>
          <w:rFonts w:eastAsia="微軟正黑體" w:hint="eastAsia"/>
          <w:b/>
          <w:bCs/>
          <w:sz w:val="32"/>
          <w:szCs w:val="32"/>
        </w:rPr>
        <w:t>深耕永續治理　讓永續融入國家發展</w:t>
      </w:r>
    </w:p>
    <w:p w14:paraId="33A7EA33" w14:textId="7BC837E1" w:rsidR="008421AA" w:rsidRPr="008421AA" w:rsidRDefault="008421AA" w:rsidP="008421AA">
      <w:pPr>
        <w:pStyle w:val="k02"/>
        <w:tabs>
          <w:tab w:val="left" w:pos="680"/>
        </w:tabs>
        <w:spacing w:beforeLines="50" w:before="180" w:afterLines="50" w:after="180" w:line="540" w:lineRule="exact"/>
        <w:ind w:firstLineChars="200" w:firstLine="640"/>
        <w:rPr>
          <w:rFonts w:eastAsia="微軟正黑體"/>
          <w:sz w:val="32"/>
          <w:szCs w:val="32"/>
        </w:rPr>
      </w:pPr>
      <w:r w:rsidRPr="008421AA">
        <w:rPr>
          <w:rFonts w:eastAsia="微軟正黑體" w:hint="eastAsia"/>
          <w:sz w:val="32"/>
          <w:szCs w:val="32"/>
        </w:rPr>
        <w:t>2024</w:t>
      </w:r>
      <w:r w:rsidRPr="008421AA">
        <w:rPr>
          <w:rFonts w:eastAsia="微軟正黑體" w:hint="eastAsia"/>
          <w:sz w:val="32"/>
          <w:szCs w:val="32"/>
        </w:rPr>
        <w:t>年總統府成立「國家氣候變遷對策委員會」</w:t>
      </w:r>
      <w:r w:rsidR="003A5586">
        <w:rPr>
          <w:rFonts w:eastAsia="微軟正黑體" w:hint="eastAsia"/>
          <w:sz w:val="32"/>
          <w:szCs w:val="32"/>
        </w:rPr>
        <w:t>擬定永續發展策略</w:t>
      </w:r>
      <w:r w:rsidRPr="008421AA">
        <w:rPr>
          <w:rFonts w:eastAsia="微軟正黑體" w:hint="eastAsia"/>
          <w:sz w:val="32"/>
          <w:szCs w:val="32"/>
        </w:rPr>
        <w:t>，行政院國家永續發展委員會</w:t>
      </w:r>
      <w:r w:rsidR="003A5586">
        <w:rPr>
          <w:rFonts w:eastAsia="微軟正黑體" w:hint="eastAsia"/>
          <w:sz w:val="32"/>
          <w:szCs w:val="32"/>
        </w:rPr>
        <w:t>擔任</w:t>
      </w:r>
      <w:r w:rsidRPr="008421AA">
        <w:rPr>
          <w:rFonts w:eastAsia="微軟正黑體" w:hint="eastAsia"/>
          <w:sz w:val="32"/>
          <w:szCs w:val="32"/>
        </w:rPr>
        <w:t>跨部會</w:t>
      </w:r>
      <w:r w:rsidR="003A5586">
        <w:rPr>
          <w:rFonts w:eastAsia="微軟正黑體" w:hint="eastAsia"/>
          <w:sz w:val="32"/>
          <w:szCs w:val="32"/>
        </w:rPr>
        <w:t>永續</w:t>
      </w:r>
      <w:r w:rsidRPr="008421AA">
        <w:rPr>
          <w:rFonts w:eastAsia="微軟正黑體" w:hint="eastAsia"/>
          <w:sz w:val="32"/>
          <w:szCs w:val="32"/>
        </w:rPr>
        <w:t>政策協調及推動平台；中央機關、地方政府及國營事業導入永續長制度，強化跨域合作。同時，永續發展已逐步納入國家發展</w:t>
      </w:r>
      <w:r w:rsidR="003A5586">
        <w:rPr>
          <w:rFonts w:eastAsia="微軟正黑體" w:hint="eastAsia"/>
          <w:sz w:val="32"/>
          <w:szCs w:val="32"/>
        </w:rPr>
        <w:t>計畫</w:t>
      </w:r>
      <w:r w:rsidRPr="008421AA">
        <w:rPr>
          <w:rFonts w:eastAsia="微軟正黑體" w:hint="eastAsia"/>
          <w:sz w:val="32"/>
          <w:szCs w:val="32"/>
        </w:rPr>
        <w:t>及</w:t>
      </w:r>
      <w:r>
        <w:rPr>
          <w:rFonts w:eastAsia="微軟正黑體" w:hint="eastAsia"/>
          <w:sz w:val="32"/>
          <w:szCs w:val="32"/>
        </w:rPr>
        <w:t>各項</w:t>
      </w:r>
      <w:r w:rsidRPr="008421AA">
        <w:rPr>
          <w:rFonts w:eastAsia="微軟正黑體" w:hint="eastAsia"/>
          <w:sz w:val="32"/>
          <w:szCs w:val="32"/>
        </w:rPr>
        <w:t>建設政策。</w:t>
      </w:r>
      <w:r>
        <w:rPr>
          <w:rFonts w:eastAsia="微軟正黑體" w:hint="eastAsia"/>
          <w:sz w:val="32"/>
          <w:szCs w:val="32"/>
        </w:rPr>
        <w:t>各項</w:t>
      </w:r>
      <w:r w:rsidRPr="008421AA">
        <w:rPr>
          <w:rFonts w:eastAsia="微軟正黑體" w:hint="eastAsia"/>
          <w:sz w:val="32"/>
          <w:szCs w:val="32"/>
        </w:rPr>
        <w:t>建設計畫自</w:t>
      </w:r>
      <w:r w:rsidRPr="008421AA">
        <w:rPr>
          <w:rFonts w:eastAsia="微軟正黑體" w:hint="eastAsia"/>
          <w:sz w:val="32"/>
          <w:szCs w:val="32"/>
        </w:rPr>
        <w:t>2023</w:t>
      </w:r>
      <w:r w:rsidRPr="008421AA">
        <w:rPr>
          <w:rFonts w:eastAsia="微軟正黑體" w:hint="eastAsia"/>
          <w:sz w:val="32"/>
          <w:szCs w:val="32"/>
        </w:rPr>
        <w:t>年起納入淨零、永續、性別平等及公正轉型等內涵，</w:t>
      </w:r>
      <w:r w:rsidRPr="008421AA">
        <w:rPr>
          <w:rFonts w:eastAsia="微軟正黑體" w:hint="eastAsia"/>
          <w:sz w:val="32"/>
          <w:szCs w:val="32"/>
        </w:rPr>
        <w:t>2025</w:t>
      </w:r>
      <w:r w:rsidRPr="008421AA">
        <w:rPr>
          <w:rFonts w:eastAsia="微軟正黑體" w:hint="eastAsia"/>
          <w:sz w:val="32"/>
          <w:szCs w:val="32"/>
        </w:rPr>
        <w:t>年進一步導入人權影響評估及工程減碳指引，讓永續理念由政策目標逐步落實於</w:t>
      </w:r>
      <w:r w:rsidR="003A5586">
        <w:rPr>
          <w:rFonts w:eastAsia="微軟正黑體" w:hint="eastAsia"/>
          <w:sz w:val="32"/>
          <w:szCs w:val="32"/>
        </w:rPr>
        <w:t>政府施政</w:t>
      </w:r>
      <w:r w:rsidRPr="008421AA">
        <w:rPr>
          <w:rFonts w:eastAsia="微軟正黑體" w:hint="eastAsia"/>
          <w:sz w:val="32"/>
          <w:szCs w:val="32"/>
        </w:rPr>
        <w:t>。</w:t>
      </w:r>
    </w:p>
    <w:p w14:paraId="70C8F7BB" w14:textId="78D218BE" w:rsidR="003A5586" w:rsidRPr="003A5586" w:rsidRDefault="003A5586" w:rsidP="003A5586">
      <w:pPr>
        <w:pStyle w:val="k02"/>
        <w:tabs>
          <w:tab w:val="left" w:pos="680"/>
        </w:tabs>
        <w:spacing w:beforeLines="50" w:before="180" w:afterLines="50" w:after="180" w:line="540" w:lineRule="exact"/>
        <w:ind w:firstLine="0"/>
        <w:rPr>
          <w:rFonts w:eastAsia="微軟正黑體"/>
          <w:b/>
          <w:bCs/>
          <w:sz w:val="32"/>
          <w:szCs w:val="32"/>
        </w:rPr>
      </w:pPr>
      <w:r w:rsidRPr="003A5586">
        <w:rPr>
          <w:rFonts w:eastAsia="微軟正黑體" w:hint="eastAsia"/>
          <w:b/>
          <w:bCs/>
          <w:sz w:val="32"/>
          <w:szCs w:val="32"/>
        </w:rPr>
        <w:t>二、</w:t>
      </w:r>
      <w:r w:rsidR="0018645F">
        <w:rPr>
          <w:rFonts w:eastAsia="微軟正黑體" w:hint="eastAsia"/>
          <w:b/>
          <w:bCs/>
          <w:sz w:val="32"/>
          <w:szCs w:val="32"/>
        </w:rPr>
        <w:t>四大面向檢視永續發展成果</w:t>
      </w:r>
    </w:p>
    <w:p w14:paraId="113F152E" w14:textId="6FDF7257" w:rsidR="003A5586" w:rsidRDefault="003A5586" w:rsidP="003A5586">
      <w:pPr>
        <w:pStyle w:val="k02"/>
        <w:tabs>
          <w:tab w:val="left" w:pos="680"/>
        </w:tabs>
        <w:spacing w:beforeLines="50" w:before="180" w:afterLines="50" w:after="180" w:line="540" w:lineRule="exact"/>
        <w:ind w:firstLineChars="221" w:firstLine="707"/>
        <w:rPr>
          <w:rFonts w:eastAsia="微軟正黑體"/>
          <w:sz w:val="32"/>
          <w:szCs w:val="32"/>
        </w:rPr>
      </w:pPr>
      <w:r w:rsidRPr="003A5586">
        <w:rPr>
          <w:rFonts w:eastAsia="微軟正黑體" w:hint="eastAsia"/>
          <w:sz w:val="32"/>
          <w:szCs w:val="32"/>
        </w:rPr>
        <w:t>在</w:t>
      </w:r>
      <w:r>
        <w:rPr>
          <w:rFonts w:eastAsia="微軟正黑體" w:hint="eastAsia"/>
          <w:sz w:val="32"/>
          <w:szCs w:val="32"/>
        </w:rPr>
        <w:t>創新</w:t>
      </w:r>
      <w:r w:rsidRPr="003A5586">
        <w:rPr>
          <w:rFonts w:eastAsia="微軟正黑體" w:hint="eastAsia"/>
          <w:sz w:val="32"/>
          <w:szCs w:val="32"/>
        </w:rPr>
        <w:t>經濟方面，臺灣以科技創新驅動包容成長，並加速</w:t>
      </w:r>
      <w:r w:rsidRPr="003A5586">
        <w:rPr>
          <w:rFonts w:eastAsia="微軟正黑體" w:hint="eastAsia"/>
          <w:sz w:val="32"/>
          <w:szCs w:val="32"/>
        </w:rPr>
        <w:lastRenderedPageBreak/>
        <w:t>綠色與數位雙軸轉型。全國研發經費突破兆元，占</w:t>
      </w:r>
      <w:r w:rsidRPr="003A5586">
        <w:rPr>
          <w:rFonts w:eastAsia="微軟正黑體" w:hint="eastAsia"/>
          <w:sz w:val="32"/>
          <w:szCs w:val="32"/>
        </w:rPr>
        <w:t>GDP 4.1%</w:t>
      </w:r>
      <w:r w:rsidRPr="003A5586">
        <w:rPr>
          <w:rFonts w:eastAsia="微軟正黑體" w:hint="eastAsia"/>
          <w:sz w:val="32"/>
          <w:szCs w:val="32"/>
        </w:rPr>
        <w:t>，居全球第</w:t>
      </w:r>
      <w:r w:rsidRPr="003A5586">
        <w:rPr>
          <w:rFonts w:eastAsia="微軟正黑體" w:hint="eastAsia"/>
          <w:sz w:val="32"/>
          <w:szCs w:val="32"/>
        </w:rPr>
        <w:t>3</w:t>
      </w:r>
      <w:r w:rsidRPr="003A5586">
        <w:rPr>
          <w:rFonts w:eastAsia="微軟正黑體" w:hint="eastAsia"/>
          <w:sz w:val="32"/>
          <w:szCs w:val="32"/>
        </w:rPr>
        <w:t>；</w:t>
      </w:r>
      <w:r w:rsidRPr="003A5586">
        <w:rPr>
          <w:rFonts w:eastAsia="微軟正黑體" w:hint="eastAsia"/>
          <w:sz w:val="32"/>
          <w:szCs w:val="32"/>
        </w:rPr>
        <w:t>2026</w:t>
      </w:r>
      <w:r w:rsidRPr="003A5586">
        <w:rPr>
          <w:rFonts w:eastAsia="微軟正黑體" w:hint="eastAsia"/>
          <w:sz w:val="32"/>
          <w:szCs w:val="32"/>
        </w:rPr>
        <w:t>年</w:t>
      </w:r>
      <w:r w:rsidRPr="003A5586">
        <w:rPr>
          <w:rFonts w:eastAsia="微軟正黑體" w:hint="eastAsia"/>
          <w:sz w:val="32"/>
          <w:szCs w:val="32"/>
        </w:rPr>
        <w:t>IMD</w:t>
      </w:r>
      <w:r w:rsidRPr="003A5586">
        <w:rPr>
          <w:rFonts w:eastAsia="微軟正黑體" w:hint="eastAsia"/>
          <w:sz w:val="32"/>
          <w:szCs w:val="32"/>
        </w:rPr>
        <w:t>世界競爭力排名全球第</w:t>
      </w:r>
      <w:r w:rsidRPr="003A5586">
        <w:rPr>
          <w:rFonts w:eastAsia="微軟正黑體" w:hint="eastAsia"/>
          <w:sz w:val="32"/>
          <w:szCs w:val="32"/>
        </w:rPr>
        <w:t>4</w:t>
      </w:r>
      <w:r w:rsidRPr="003A5586">
        <w:rPr>
          <w:rFonts w:eastAsia="微軟正黑體" w:hint="eastAsia"/>
          <w:sz w:val="32"/>
          <w:szCs w:val="32"/>
        </w:rPr>
        <w:t>，</w:t>
      </w:r>
      <w:r w:rsidRPr="003A5586">
        <w:rPr>
          <w:rFonts w:eastAsia="微軟正黑體" w:hint="eastAsia"/>
          <w:sz w:val="32"/>
          <w:szCs w:val="32"/>
        </w:rPr>
        <w:t>2025</w:t>
      </w:r>
      <w:r w:rsidRPr="003A5586">
        <w:rPr>
          <w:rFonts w:eastAsia="微軟正黑體" w:hint="eastAsia"/>
          <w:sz w:val="32"/>
          <w:szCs w:val="32"/>
        </w:rPr>
        <w:t>年</w:t>
      </w:r>
      <w:r w:rsidRPr="003A5586">
        <w:rPr>
          <w:rFonts w:eastAsia="微軟正黑體" w:hint="eastAsia"/>
          <w:sz w:val="32"/>
          <w:szCs w:val="32"/>
        </w:rPr>
        <w:t>AI</w:t>
      </w:r>
      <w:r w:rsidRPr="003A5586">
        <w:rPr>
          <w:rFonts w:eastAsia="微軟正黑體" w:hint="eastAsia"/>
          <w:sz w:val="32"/>
          <w:szCs w:val="32"/>
        </w:rPr>
        <w:t>競爭力升至全球第</w:t>
      </w:r>
      <w:r w:rsidRPr="003A5586">
        <w:rPr>
          <w:rFonts w:eastAsia="微軟正黑體" w:hint="eastAsia"/>
          <w:sz w:val="32"/>
          <w:szCs w:val="32"/>
        </w:rPr>
        <w:t>16</w:t>
      </w:r>
      <w:r w:rsidRPr="003A5586">
        <w:rPr>
          <w:rFonts w:eastAsia="微軟正黑體" w:hint="eastAsia"/>
          <w:sz w:val="32"/>
          <w:szCs w:val="32"/>
        </w:rPr>
        <w:t>。政府並透過調漲最低工資、優化租稅及社會福利，促進成長果實共享；綠色投融資規模突破</w:t>
      </w:r>
      <w:r w:rsidRPr="003A5586">
        <w:rPr>
          <w:rFonts w:eastAsia="微軟正黑體" w:hint="eastAsia"/>
          <w:sz w:val="32"/>
          <w:szCs w:val="32"/>
        </w:rPr>
        <w:t>4.9</w:t>
      </w:r>
      <w:r w:rsidRPr="003A5586">
        <w:rPr>
          <w:rFonts w:eastAsia="微軟正黑體" w:hint="eastAsia"/>
          <w:sz w:val="32"/>
          <w:szCs w:val="32"/>
        </w:rPr>
        <w:t>兆元，持續推動多元綠能、深度節能、循環經濟及企業永續，提升產業面對全球供應鏈重組的韌性與競爭力。</w:t>
      </w:r>
    </w:p>
    <w:p w14:paraId="0427C38B" w14:textId="54239FBE" w:rsidR="004A7BE1" w:rsidRPr="004A7BE1" w:rsidRDefault="00922E33" w:rsidP="004A7BE1">
      <w:pPr>
        <w:pStyle w:val="k02"/>
        <w:tabs>
          <w:tab w:val="left" w:pos="680"/>
        </w:tabs>
        <w:spacing w:beforeLines="50" w:before="180" w:afterLines="50" w:after="180" w:line="540" w:lineRule="exact"/>
        <w:ind w:firstLineChars="200" w:firstLine="640"/>
        <w:rPr>
          <w:rFonts w:eastAsia="微軟正黑體"/>
          <w:sz w:val="32"/>
          <w:szCs w:val="32"/>
        </w:rPr>
      </w:pPr>
      <w:r w:rsidRPr="00922E33">
        <w:rPr>
          <w:rFonts w:eastAsia="微軟正黑體" w:hint="eastAsia"/>
          <w:sz w:val="32"/>
          <w:szCs w:val="32"/>
        </w:rPr>
        <w:t>在公義社會面向，政府秉持「不遺漏任何人」</w:t>
      </w:r>
      <w:r w:rsidR="002E08E2" w:rsidRPr="002E08E2">
        <w:rPr>
          <w:rFonts w:eastAsia="微軟正黑體" w:hint="eastAsia"/>
          <w:sz w:val="32"/>
          <w:szCs w:val="32"/>
        </w:rPr>
        <w:t>（</w:t>
      </w:r>
      <w:r w:rsidR="002E08E2" w:rsidRPr="002E08E2">
        <w:rPr>
          <w:rFonts w:eastAsia="微軟正黑體" w:hint="eastAsia"/>
          <w:sz w:val="32"/>
          <w:szCs w:val="32"/>
        </w:rPr>
        <w:t>Leave No One Behind, LNOB</w:t>
      </w:r>
      <w:r w:rsidR="002E08E2" w:rsidRPr="002E08E2">
        <w:rPr>
          <w:rFonts w:eastAsia="微軟正黑體" w:hint="eastAsia"/>
          <w:sz w:val="32"/>
          <w:szCs w:val="32"/>
        </w:rPr>
        <w:t>）</w:t>
      </w:r>
      <w:r w:rsidRPr="00922E33">
        <w:rPr>
          <w:rFonts w:eastAsia="微軟正黑體" w:hint="eastAsia"/>
          <w:sz w:val="32"/>
          <w:szCs w:val="32"/>
        </w:rPr>
        <w:t>原則，持續擴大社會投資，完善全齡照顧與社會安全網。臺灣性別平等表現居亞洲第</w:t>
      </w:r>
      <w:r w:rsidRPr="00922E33">
        <w:rPr>
          <w:rFonts w:eastAsia="微軟正黑體" w:hint="eastAsia"/>
          <w:sz w:val="32"/>
          <w:szCs w:val="32"/>
        </w:rPr>
        <w:t>3</w:t>
      </w:r>
      <w:r w:rsidRPr="00922E33">
        <w:rPr>
          <w:rFonts w:eastAsia="微軟正黑體" w:hint="eastAsia"/>
          <w:sz w:val="32"/>
          <w:szCs w:val="32"/>
        </w:rPr>
        <w:t>、全球第</w:t>
      </w:r>
      <w:r w:rsidRPr="00922E33">
        <w:rPr>
          <w:rFonts w:eastAsia="微軟正黑體" w:hint="eastAsia"/>
          <w:sz w:val="32"/>
          <w:szCs w:val="32"/>
        </w:rPr>
        <w:t>13</w:t>
      </w:r>
      <w:r w:rsidRPr="00922E33">
        <w:rPr>
          <w:rFonts w:eastAsia="微軟正黑體" w:hint="eastAsia"/>
          <w:sz w:val="32"/>
          <w:szCs w:val="32"/>
        </w:rPr>
        <w:t>；長照服務覆蓋率達</w:t>
      </w:r>
      <w:r w:rsidRPr="00922E33">
        <w:rPr>
          <w:rFonts w:eastAsia="微軟正黑體" w:hint="eastAsia"/>
          <w:sz w:val="32"/>
          <w:szCs w:val="32"/>
        </w:rPr>
        <w:t>94.5%</w:t>
      </w:r>
      <w:r w:rsidRPr="00922E33">
        <w:rPr>
          <w:rFonts w:eastAsia="微軟正黑體" w:hint="eastAsia"/>
          <w:sz w:val="32"/>
          <w:szCs w:val="32"/>
        </w:rPr>
        <w:t>，健康照護指數位居全球第</w:t>
      </w:r>
      <w:r w:rsidRPr="00922E33">
        <w:rPr>
          <w:rFonts w:eastAsia="微軟正黑體" w:hint="eastAsia"/>
          <w:sz w:val="32"/>
          <w:szCs w:val="32"/>
        </w:rPr>
        <w:t>1</w:t>
      </w:r>
      <w:r w:rsidRPr="00922E33">
        <w:rPr>
          <w:rFonts w:eastAsia="微軟正黑體" w:hint="eastAsia"/>
          <w:sz w:val="32"/>
          <w:szCs w:val="32"/>
        </w:rPr>
        <w:t>。面對少子高齡化挑戰，政府推動長照</w:t>
      </w:r>
      <w:r w:rsidRPr="00922E33">
        <w:rPr>
          <w:rFonts w:eastAsia="微軟正黑體" w:hint="eastAsia"/>
          <w:sz w:val="32"/>
          <w:szCs w:val="32"/>
        </w:rPr>
        <w:t>3.0</w:t>
      </w:r>
      <w:r w:rsidRPr="00922E33">
        <w:rPr>
          <w:rFonts w:eastAsia="微軟正黑體" w:hint="eastAsia"/>
          <w:sz w:val="32"/>
          <w:szCs w:val="32"/>
        </w:rPr>
        <w:t>及強化社會安全網計畫</w:t>
      </w:r>
      <w:r w:rsidRPr="00922E33">
        <w:rPr>
          <w:rFonts w:eastAsia="微軟正黑體" w:hint="eastAsia"/>
          <w:sz w:val="32"/>
          <w:szCs w:val="32"/>
        </w:rPr>
        <w:t>2.0</w:t>
      </w:r>
      <w:r w:rsidRPr="00922E33">
        <w:rPr>
          <w:rFonts w:eastAsia="微軟正黑體" w:hint="eastAsia"/>
          <w:sz w:val="32"/>
          <w:szCs w:val="32"/>
        </w:rPr>
        <w:t>，擴充公共托育、租金補貼、高中職免學費及大專學雜費減免等措施，減輕家庭與青年負擔；並透過青年、新住民、社會福利及原住民族健康等重要法制，保障多元族群權益，奠定平等、尊嚴與機會共享的永續轉型基礎。</w:t>
      </w:r>
    </w:p>
    <w:p w14:paraId="04856EC9" w14:textId="4564686E" w:rsidR="004A7BE1" w:rsidRPr="004A7BE1" w:rsidRDefault="002E08E2" w:rsidP="004A7BE1">
      <w:pPr>
        <w:pStyle w:val="k02"/>
        <w:tabs>
          <w:tab w:val="left" w:pos="680"/>
        </w:tabs>
        <w:spacing w:beforeLines="50" w:before="180" w:afterLines="50" w:after="180" w:line="540" w:lineRule="exact"/>
        <w:ind w:firstLineChars="200" w:firstLine="640"/>
        <w:rPr>
          <w:rFonts w:eastAsia="微軟正黑體"/>
          <w:sz w:val="32"/>
          <w:szCs w:val="32"/>
        </w:rPr>
      </w:pPr>
      <w:r w:rsidRPr="002E08E2">
        <w:rPr>
          <w:rFonts w:eastAsia="微軟正黑體" w:hint="eastAsia"/>
          <w:sz w:val="32"/>
          <w:szCs w:val="32"/>
        </w:rPr>
        <w:t>在永續環境面向，臺灣以淨零轉型、氣候調適與生物多樣性治理並進。</w:t>
      </w:r>
      <w:r w:rsidRPr="002E08E2">
        <w:rPr>
          <w:rFonts w:eastAsia="微軟正黑體" w:hint="eastAsia"/>
          <w:sz w:val="32"/>
          <w:szCs w:val="32"/>
        </w:rPr>
        <w:t>2023</w:t>
      </w:r>
      <w:r w:rsidRPr="002E08E2">
        <w:rPr>
          <w:rFonts w:eastAsia="微軟正黑體" w:hint="eastAsia"/>
          <w:sz w:val="32"/>
          <w:szCs w:val="32"/>
        </w:rPr>
        <w:t>年修正公布《氣候變遷因應法》，將</w:t>
      </w:r>
      <w:r w:rsidRPr="002E08E2">
        <w:rPr>
          <w:rFonts w:eastAsia="微軟正黑體" w:hint="eastAsia"/>
          <w:sz w:val="32"/>
          <w:szCs w:val="32"/>
        </w:rPr>
        <w:t>2050</w:t>
      </w:r>
      <w:r w:rsidRPr="002E08E2">
        <w:rPr>
          <w:rFonts w:eastAsia="微軟正黑體" w:hint="eastAsia"/>
          <w:sz w:val="32"/>
          <w:szCs w:val="32"/>
        </w:rPr>
        <w:t>淨零排放目標入法；</w:t>
      </w:r>
      <w:r w:rsidRPr="002E08E2">
        <w:rPr>
          <w:rFonts w:eastAsia="微軟正黑體" w:hint="eastAsia"/>
          <w:sz w:val="32"/>
          <w:szCs w:val="32"/>
        </w:rPr>
        <w:t>2025</w:t>
      </w:r>
      <w:r w:rsidRPr="002E08E2">
        <w:rPr>
          <w:rFonts w:eastAsia="微軟正黑體" w:hint="eastAsia"/>
          <w:sz w:val="32"/>
          <w:szCs w:val="32"/>
        </w:rPr>
        <w:t>年提出國家自定貢獻（</w:t>
      </w:r>
      <w:r w:rsidRPr="002E08E2">
        <w:rPr>
          <w:rFonts w:eastAsia="微軟正黑體" w:hint="eastAsia"/>
          <w:sz w:val="32"/>
          <w:szCs w:val="32"/>
        </w:rPr>
        <w:t>NDC 3.0</w:t>
      </w:r>
      <w:r w:rsidRPr="002E08E2">
        <w:rPr>
          <w:rFonts w:eastAsia="微軟正黑體" w:hint="eastAsia"/>
          <w:sz w:val="32"/>
          <w:szCs w:val="32"/>
        </w:rPr>
        <w:t>），以</w:t>
      </w:r>
      <w:r w:rsidRPr="002E08E2">
        <w:rPr>
          <w:rFonts w:eastAsia="微軟正黑體" w:hint="eastAsia"/>
          <w:sz w:val="32"/>
          <w:szCs w:val="32"/>
        </w:rPr>
        <w:t>2005</w:t>
      </w:r>
      <w:r w:rsidRPr="002E08E2">
        <w:rPr>
          <w:rFonts w:eastAsia="微軟正黑體" w:hint="eastAsia"/>
          <w:sz w:val="32"/>
          <w:szCs w:val="32"/>
        </w:rPr>
        <w:t>年為基準，設定</w:t>
      </w:r>
      <w:r w:rsidRPr="002E08E2">
        <w:rPr>
          <w:rFonts w:eastAsia="微軟正黑體" w:hint="eastAsia"/>
          <w:sz w:val="32"/>
          <w:szCs w:val="32"/>
        </w:rPr>
        <w:t>2030</w:t>
      </w:r>
      <w:r w:rsidRPr="002E08E2">
        <w:rPr>
          <w:rFonts w:eastAsia="微軟正黑體" w:hint="eastAsia"/>
          <w:sz w:val="32"/>
          <w:szCs w:val="32"/>
        </w:rPr>
        <w:t>年減碳</w:t>
      </w:r>
      <w:r w:rsidRPr="002E08E2">
        <w:rPr>
          <w:rFonts w:eastAsia="微軟正黑體" w:hint="eastAsia"/>
          <w:sz w:val="32"/>
          <w:szCs w:val="32"/>
        </w:rPr>
        <w:t>28</w:t>
      </w:r>
      <w:r w:rsidRPr="002E08E2">
        <w:rPr>
          <w:rFonts w:eastAsia="微軟正黑體" w:hint="eastAsia"/>
          <w:sz w:val="32"/>
          <w:szCs w:val="32"/>
        </w:rPr>
        <w:t>±</w:t>
      </w:r>
      <w:r w:rsidRPr="002E08E2">
        <w:rPr>
          <w:rFonts w:eastAsia="微軟正黑體" w:hint="eastAsia"/>
          <w:sz w:val="32"/>
          <w:szCs w:val="32"/>
        </w:rPr>
        <w:t>2%</w:t>
      </w:r>
      <w:r w:rsidRPr="002E08E2">
        <w:rPr>
          <w:rFonts w:eastAsia="微軟正黑體" w:hint="eastAsia"/>
          <w:sz w:val="32"/>
          <w:szCs w:val="32"/>
        </w:rPr>
        <w:t>、</w:t>
      </w:r>
      <w:r w:rsidRPr="002E08E2">
        <w:rPr>
          <w:rFonts w:eastAsia="微軟正黑體" w:hint="eastAsia"/>
          <w:sz w:val="32"/>
          <w:szCs w:val="32"/>
        </w:rPr>
        <w:t>2035</w:t>
      </w:r>
      <w:r w:rsidRPr="002E08E2">
        <w:rPr>
          <w:rFonts w:eastAsia="微軟正黑體" w:hint="eastAsia"/>
          <w:sz w:val="32"/>
          <w:szCs w:val="32"/>
        </w:rPr>
        <w:t>年減碳</w:t>
      </w:r>
      <w:r w:rsidRPr="002E08E2">
        <w:rPr>
          <w:rFonts w:eastAsia="微軟正黑體" w:hint="eastAsia"/>
          <w:sz w:val="32"/>
          <w:szCs w:val="32"/>
        </w:rPr>
        <w:t>38</w:t>
      </w:r>
      <w:r w:rsidRPr="002E08E2">
        <w:rPr>
          <w:rFonts w:eastAsia="微軟正黑體" w:hint="eastAsia"/>
          <w:sz w:val="32"/>
          <w:szCs w:val="32"/>
        </w:rPr>
        <w:t>±</w:t>
      </w:r>
      <w:r w:rsidRPr="002E08E2">
        <w:rPr>
          <w:rFonts w:eastAsia="微軟正黑體" w:hint="eastAsia"/>
          <w:sz w:val="32"/>
          <w:szCs w:val="32"/>
        </w:rPr>
        <w:t>2%</w:t>
      </w:r>
      <w:r w:rsidRPr="002E08E2">
        <w:rPr>
          <w:rFonts w:eastAsia="微軟正黑體" w:hint="eastAsia"/>
          <w:sz w:val="32"/>
          <w:szCs w:val="32"/>
        </w:rPr>
        <w:t>的目標，並正式啟動碳費制度。</w:t>
      </w:r>
      <w:r w:rsidR="004A7BE1" w:rsidRPr="004A7BE1">
        <w:rPr>
          <w:rFonts w:eastAsia="微軟正黑體"/>
          <w:sz w:val="32"/>
          <w:szCs w:val="32"/>
        </w:rPr>
        <w:t>2005</w:t>
      </w:r>
      <w:r w:rsidR="004A7BE1" w:rsidRPr="004A7BE1">
        <w:rPr>
          <w:rFonts w:eastAsia="微軟正黑體"/>
          <w:sz w:val="32"/>
          <w:szCs w:val="32"/>
        </w:rPr>
        <w:t>年至</w:t>
      </w:r>
      <w:r w:rsidR="004A7BE1" w:rsidRPr="004A7BE1">
        <w:rPr>
          <w:rFonts w:eastAsia="微軟正黑體"/>
          <w:sz w:val="32"/>
          <w:szCs w:val="32"/>
        </w:rPr>
        <w:t>2024</w:t>
      </w:r>
      <w:r w:rsidR="004A7BE1" w:rsidRPr="004A7BE1">
        <w:rPr>
          <w:rFonts w:eastAsia="微軟正黑體"/>
          <w:sz w:val="32"/>
          <w:szCs w:val="32"/>
        </w:rPr>
        <w:t>年間，</w:t>
      </w:r>
      <w:r w:rsidR="004A7BE1" w:rsidRPr="004A7BE1">
        <w:rPr>
          <w:rFonts w:eastAsia="微軟正黑體"/>
          <w:sz w:val="32"/>
          <w:szCs w:val="32"/>
        </w:rPr>
        <w:t>GDP</w:t>
      </w:r>
      <w:r w:rsidR="004A7BE1" w:rsidRPr="004A7BE1">
        <w:rPr>
          <w:rFonts w:eastAsia="微軟正黑體"/>
          <w:sz w:val="32"/>
          <w:szCs w:val="32"/>
        </w:rPr>
        <w:t>成長</w:t>
      </w:r>
      <w:r w:rsidR="004A7BE1" w:rsidRPr="004A7BE1">
        <w:rPr>
          <w:rFonts w:eastAsia="微軟正黑體"/>
          <w:sz w:val="32"/>
          <w:szCs w:val="32"/>
        </w:rPr>
        <w:t>93.1%</w:t>
      </w:r>
      <w:r w:rsidR="004A7BE1" w:rsidRPr="004A7BE1">
        <w:rPr>
          <w:rFonts w:eastAsia="微軟正黑體"/>
          <w:sz w:val="32"/>
          <w:szCs w:val="32"/>
        </w:rPr>
        <w:t>，碳排密集度下降</w:t>
      </w:r>
      <w:r w:rsidR="004A7BE1" w:rsidRPr="004A7BE1">
        <w:rPr>
          <w:rFonts w:eastAsia="微軟正黑體"/>
          <w:sz w:val="32"/>
          <w:szCs w:val="32"/>
        </w:rPr>
        <w:t>48.6%</w:t>
      </w:r>
      <w:r w:rsidR="004A7BE1" w:rsidRPr="004A7BE1">
        <w:rPr>
          <w:rFonts w:eastAsia="微軟正黑體"/>
          <w:sz w:val="32"/>
          <w:szCs w:val="32"/>
        </w:rPr>
        <w:t>；政府同步推動</w:t>
      </w:r>
      <w:r w:rsidR="0092307D">
        <w:rPr>
          <w:rFonts w:eastAsia="微軟正黑體" w:hint="eastAsia"/>
          <w:sz w:val="32"/>
          <w:szCs w:val="32"/>
        </w:rPr>
        <w:t>以</w:t>
      </w:r>
      <w:r w:rsidR="0092307D" w:rsidRPr="0092307D">
        <w:rPr>
          <w:rFonts w:eastAsia="微軟正黑體" w:hint="eastAsia"/>
          <w:sz w:val="32"/>
          <w:szCs w:val="32"/>
        </w:rPr>
        <w:t>自然為本的解決方案（</w:t>
      </w:r>
      <w:r w:rsidR="0092307D" w:rsidRPr="0092307D">
        <w:rPr>
          <w:rFonts w:eastAsia="微軟正黑體" w:hint="eastAsia"/>
          <w:sz w:val="32"/>
          <w:szCs w:val="32"/>
        </w:rPr>
        <w:t>NbS</w:t>
      </w:r>
      <w:r w:rsidR="0092307D" w:rsidRPr="0092307D">
        <w:rPr>
          <w:rFonts w:eastAsia="微軟正黑體" w:hint="eastAsia"/>
          <w:sz w:val="32"/>
          <w:szCs w:val="32"/>
        </w:rPr>
        <w:t>）</w:t>
      </w:r>
      <w:r w:rsidR="0092307D">
        <w:rPr>
          <w:rFonts w:eastAsia="微軟正黑體" w:hint="eastAsia"/>
          <w:sz w:val="32"/>
          <w:szCs w:val="32"/>
        </w:rPr>
        <w:t>、</w:t>
      </w:r>
      <w:r w:rsidR="0092307D" w:rsidRPr="0092307D">
        <w:rPr>
          <w:rFonts w:eastAsia="微軟正黑體" w:hint="eastAsia"/>
          <w:sz w:val="32"/>
          <w:szCs w:val="32"/>
        </w:rPr>
        <w:t>高溫調適</w:t>
      </w:r>
      <w:r w:rsidR="004A7BE1" w:rsidRPr="004A7BE1">
        <w:rPr>
          <w:rFonts w:eastAsia="微軟正黑體"/>
          <w:sz w:val="32"/>
          <w:szCs w:val="32"/>
        </w:rPr>
        <w:t>、韌性電網、多元水資源、生物多樣性保育及國土生態綠網，持續強化氣候調適與國土韌性。</w:t>
      </w:r>
    </w:p>
    <w:p w14:paraId="00C6D639" w14:textId="77777777" w:rsidR="0018645F" w:rsidRDefault="0018645F" w:rsidP="0018645F">
      <w:pPr>
        <w:pStyle w:val="k02"/>
        <w:tabs>
          <w:tab w:val="left" w:pos="680"/>
        </w:tabs>
        <w:spacing w:beforeLines="50" w:before="180" w:afterLines="50" w:after="180" w:line="540" w:lineRule="exact"/>
        <w:ind w:firstLine="0"/>
        <w:rPr>
          <w:rFonts w:eastAsia="微軟正黑體"/>
          <w:sz w:val="32"/>
          <w:szCs w:val="32"/>
        </w:rPr>
      </w:pPr>
    </w:p>
    <w:p w14:paraId="2CEA9D11" w14:textId="77777777" w:rsidR="001465DC" w:rsidRDefault="002861D8" w:rsidP="001465DC">
      <w:pPr>
        <w:pStyle w:val="k02"/>
        <w:tabs>
          <w:tab w:val="left" w:pos="680"/>
        </w:tabs>
        <w:spacing w:beforeLines="50" w:before="180" w:afterLines="50" w:after="180" w:line="540" w:lineRule="exact"/>
        <w:ind w:firstLineChars="200" w:firstLine="640"/>
        <w:rPr>
          <w:rFonts w:eastAsia="微軟正黑體"/>
          <w:sz w:val="32"/>
          <w:szCs w:val="32"/>
        </w:rPr>
      </w:pPr>
      <w:r w:rsidRPr="002861D8">
        <w:rPr>
          <w:rFonts w:eastAsia="微軟正黑體" w:hint="eastAsia"/>
          <w:sz w:val="32"/>
          <w:szCs w:val="32"/>
        </w:rPr>
        <w:lastRenderedPageBreak/>
        <w:t>在全球夥伴面向，</w:t>
      </w:r>
      <w:r w:rsidR="0089028B">
        <w:rPr>
          <w:rFonts w:eastAsia="微軟正黑體" w:hint="eastAsia"/>
          <w:sz w:val="32"/>
          <w:szCs w:val="32"/>
        </w:rPr>
        <w:t>我國</w:t>
      </w:r>
      <w:r w:rsidRPr="002861D8">
        <w:rPr>
          <w:rFonts w:eastAsia="微軟正黑體" w:hint="eastAsia"/>
          <w:sz w:val="32"/>
          <w:szCs w:val="32"/>
        </w:rPr>
        <w:t>積極響應</w:t>
      </w:r>
      <w:r w:rsidRPr="002861D8">
        <w:rPr>
          <w:rFonts w:eastAsia="微軟正黑體" w:hint="eastAsia"/>
          <w:sz w:val="32"/>
          <w:szCs w:val="32"/>
        </w:rPr>
        <w:t>SDG 17</w:t>
      </w:r>
      <w:r w:rsidRPr="002861D8">
        <w:rPr>
          <w:rFonts w:eastAsia="微軟正黑體" w:hint="eastAsia"/>
          <w:sz w:val="32"/>
          <w:szCs w:val="32"/>
        </w:rPr>
        <w:t>，以公私民夥伴關係（</w:t>
      </w:r>
      <w:r w:rsidRPr="002861D8">
        <w:rPr>
          <w:rFonts w:eastAsia="微軟正黑體"/>
          <w:sz w:val="32"/>
          <w:szCs w:val="32"/>
        </w:rPr>
        <w:t>public-private people partnerships, 4P</w:t>
      </w:r>
      <w:r w:rsidRPr="002861D8">
        <w:rPr>
          <w:rFonts w:eastAsia="微軟正黑體" w:hint="eastAsia"/>
          <w:sz w:val="32"/>
          <w:szCs w:val="32"/>
        </w:rPr>
        <w:t>）由傳統援助走向能力建構與技術移轉。政府結合民間與國際夥伴，將智慧醫療、智慧農業、數位治理、氣候調適、水資源管理及婦女賦權等實務經驗分享至友邦與友好國家，透過城市外交、人道援助、人才培育及非政府組織合作，攜手擴大永續解方的全球影響力</w:t>
      </w:r>
      <w:r w:rsidR="001465DC">
        <w:rPr>
          <w:rFonts w:eastAsia="微軟正黑體" w:hint="eastAsia"/>
          <w:sz w:val="32"/>
          <w:szCs w:val="32"/>
        </w:rPr>
        <w:t>。</w:t>
      </w:r>
    </w:p>
    <w:p w14:paraId="662BFB5D" w14:textId="493F5FD6" w:rsidR="001465DC" w:rsidRDefault="001465DC" w:rsidP="001465DC">
      <w:pPr>
        <w:pStyle w:val="k02"/>
        <w:tabs>
          <w:tab w:val="left" w:pos="680"/>
        </w:tabs>
        <w:spacing w:beforeLines="50" w:before="180" w:afterLines="50" w:after="180" w:line="540" w:lineRule="exact"/>
        <w:ind w:firstLineChars="200" w:firstLine="640"/>
        <w:rPr>
          <w:rFonts w:eastAsia="微軟正黑體"/>
          <w:sz w:val="32"/>
          <w:szCs w:val="32"/>
        </w:rPr>
      </w:pPr>
      <w:r w:rsidRPr="001465DC">
        <w:rPr>
          <w:rFonts w:eastAsia="微軟正黑體" w:hint="eastAsia"/>
          <w:sz w:val="32"/>
          <w:szCs w:val="32"/>
        </w:rPr>
        <w:t>展望未來，面對氣候緊急狀態、</w:t>
      </w:r>
      <w:r w:rsidRPr="001465DC">
        <w:rPr>
          <w:rFonts w:eastAsia="微軟正黑體" w:hint="eastAsia"/>
          <w:sz w:val="32"/>
          <w:szCs w:val="32"/>
        </w:rPr>
        <w:t>AI</w:t>
      </w:r>
      <w:r w:rsidRPr="001465DC">
        <w:rPr>
          <w:rFonts w:eastAsia="微軟正黑體" w:hint="eastAsia"/>
          <w:sz w:val="32"/>
          <w:szCs w:val="32"/>
        </w:rPr>
        <w:t>與數位轉型、人口結構劇變及區域發展差異等挑戰，政府將持續推動</w:t>
      </w:r>
      <w:r w:rsidRPr="001465DC">
        <w:rPr>
          <w:rFonts w:eastAsia="微軟正黑體" w:hint="eastAsia"/>
          <w:sz w:val="32"/>
          <w:szCs w:val="32"/>
        </w:rPr>
        <w:t>NDC 3.0</w:t>
      </w:r>
      <w:r w:rsidRPr="001465DC">
        <w:rPr>
          <w:rFonts w:eastAsia="微軟正黑體" w:hint="eastAsia"/>
          <w:sz w:val="32"/>
          <w:szCs w:val="32"/>
        </w:rPr>
        <w:t>與臺灣總體減碳行動計畫，強化氣候調適及韌性建設，並加速「</w:t>
      </w:r>
      <w:r w:rsidRPr="001465DC">
        <w:rPr>
          <w:rFonts w:eastAsia="微軟正黑體" w:hint="eastAsia"/>
          <w:sz w:val="32"/>
          <w:szCs w:val="32"/>
        </w:rPr>
        <w:t>AI</w:t>
      </w:r>
      <w:r w:rsidRPr="001465DC">
        <w:rPr>
          <w:rFonts w:eastAsia="微軟正黑體" w:hint="eastAsia"/>
          <w:sz w:val="32"/>
          <w:szCs w:val="32"/>
        </w:rPr>
        <w:t>產業化、產業</w:t>
      </w:r>
      <w:r w:rsidRPr="001465DC">
        <w:rPr>
          <w:rFonts w:eastAsia="微軟正黑體" w:hint="eastAsia"/>
          <w:sz w:val="32"/>
          <w:szCs w:val="32"/>
        </w:rPr>
        <w:t>AI</w:t>
      </w:r>
      <w:r w:rsidRPr="001465DC">
        <w:rPr>
          <w:rFonts w:eastAsia="微軟正黑體" w:hint="eastAsia"/>
          <w:sz w:val="32"/>
          <w:szCs w:val="32"/>
        </w:rPr>
        <w:t>化」、發展十三項戰略產業，推動人口新對策、長照</w:t>
      </w:r>
      <w:r w:rsidRPr="001465DC">
        <w:rPr>
          <w:rFonts w:eastAsia="微軟正黑體" w:hint="eastAsia"/>
          <w:sz w:val="32"/>
          <w:szCs w:val="32"/>
        </w:rPr>
        <w:t>3.0</w:t>
      </w:r>
      <w:r w:rsidRPr="001465DC">
        <w:rPr>
          <w:rFonts w:eastAsia="微軟正黑體" w:hint="eastAsia"/>
          <w:sz w:val="32"/>
          <w:szCs w:val="32"/>
        </w:rPr>
        <w:t>、強化社會安全網</w:t>
      </w:r>
      <w:r w:rsidRPr="001465DC">
        <w:rPr>
          <w:rFonts w:eastAsia="微軟正黑體" w:hint="eastAsia"/>
          <w:sz w:val="32"/>
          <w:szCs w:val="32"/>
        </w:rPr>
        <w:t>2.0</w:t>
      </w:r>
      <w:r w:rsidRPr="001465DC">
        <w:rPr>
          <w:rFonts w:eastAsia="微軟正黑體" w:hint="eastAsia"/>
          <w:sz w:val="32"/>
          <w:szCs w:val="32"/>
        </w:rPr>
        <w:t>及六大區域產業與生活圈，促進永續轉型與均衡發展；對外則以總合外交串聯政府、民間及國際夥伴，接軌全球永續議程，分享臺灣永續發展經驗與實踐方案，擴大國際合作，與世界攜手共創永續未來</w:t>
      </w:r>
      <w:r w:rsidR="00CD098D">
        <w:rPr>
          <w:rFonts w:eastAsia="微軟正黑體" w:hint="eastAsia"/>
          <w:sz w:val="32"/>
          <w:szCs w:val="32"/>
        </w:rPr>
        <w:t>。</w:t>
      </w:r>
    </w:p>
    <w:p w14:paraId="2FA9B747" w14:textId="77777777" w:rsidR="00E867E5" w:rsidRDefault="00E867E5" w:rsidP="001465DC">
      <w:pPr>
        <w:pStyle w:val="k02"/>
        <w:tabs>
          <w:tab w:val="left" w:pos="680"/>
        </w:tabs>
        <w:spacing w:beforeLines="50" w:before="180" w:afterLines="50" w:after="180" w:line="540" w:lineRule="exact"/>
        <w:ind w:firstLine="0"/>
        <w:rPr>
          <w:rFonts w:eastAsia="微軟正黑體"/>
          <w:bCs/>
          <w:szCs w:val="28"/>
        </w:rPr>
      </w:pPr>
    </w:p>
    <w:p w14:paraId="39D8419C" w14:textId="1EDA16CF" w:rsidR="004A7BE1" w:rsidRPr="001465DC" w:rsidRDefault="004A7BE1" w:rsidP="001465DC">
      <w:pPr>
        <w:pStyle w:val="k02"/>
        <w:tabs>
          <w:tab w:val="left" w:pos="680"/>
        </w:tabs>
        <w:spacing w:beforeLines="50" w:before="180" w:afterLines="50" w:after="180" w:line="540" w:lineRule="exact"/>
        <w:ind w:firstLine="0"/>
        <w:rPr>
          <w:rFonts w:eastAsia="微軟正黑體"/>
          <w:sz w:val="32"/>
          <w:szCs w:val="32"/>
        </w:rPr>
      </w:pPr>
      <w:r w:rsidRPr="004A7BE1">
        <w:rPr>
          <w:rFonts w:eastAsia="微軟正黑體"/>
          <w:bCs/>
          <w:szCs w:val="28"/>
        </w:rPr>
        <w:t>聯絡人：經濟發展處陳處長美菊</w:t>
      </w:r>
    </w:p>
    <w:p w14:paraId="3F395C2F" w14:textId="67380A95" w:rsidR="004A7BE1" w:rsidRPr="004A7BE1" w:rsidRDefault="004A7BE1" w:rsidP="004A7BE1">
      <w:pPr>
        <w:spacing w:line="360" w:lineRule="exact"/>
        <w:ind w:right="84"/>
        <w:rPr>
          <w:rFonts w:eastAsia="微軟正黑體"/>
          <w:sz w:val="32"/>
          <w:szCs w:val="32"/>
        </w:rPr>
      </w:pPr>
      <w:r w:rsidRPr="004A7BE1">
        <w:rPr>
          <w:rFonts w:ascii="Times New Roman" w:eastAsia="微軟正黑體" w:hAnsi="Times New Roman" w:cs="Times New Roman"/>
          <w:bCs/>
          <w:kern w:val="0"/>
          <w:sz w:val="28"/>
          <w:szCs w:val="28"/>
        </w:rPr>
        <w:t>辦公室電話：</w:t>
      </w:r>
      <w:r w:rsidRPr="004A7BE1">
        <w:rPr>
          <w:rFonts w:ascii="Times New Roman" w:eastAsia="微軟正黑體" w:hAnsi="Times New Roman" w:cs="Times New Roman"/>
          <w:bCs/>
          <w:kern w:val="0"/>
          <w:sz w:val="28"/>
          <w:szCs w:val="28"/>
        </w:rPr>
        <w:t>02-2316-5300#5603</w:t>
      </w:r>
    </w:p>
    <w:sectPr w:rsidR="004A7BE1" w:rsidRPr="004A7BE1" w:rsidSect="0025498C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9F73B" w14:textId="77777777" w:rsidR="00712CA7" w:rsidRDefault="00712CA7" w:rsidP="00DC6553">
      <w:r>
        <w:separator/>
      </w:r>
    </w:p>
  </w:endnote>
  <w:endnote w:type="continuationSeparator" w:id="0">
    <w:p w14:paraId="78459CB0" w14:textId="77777777" w:rsidR="00712CA7" w:rsidRDefault="00712CA7" w:rsidP="00DC6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4444158"/>
      <w:docPartObj>
        <w:docPartGallery w:val="Page Numbers (Bottom of Page)"/>
        <w:docPartUnique/>
      </w:docPartObj>
    </w:sdtPr>
    <w:sdtEndPr/>
    <w:sdtContent>
      <w:p w14:paraId="0A0C6E1E" w14:textId="1ED052CB" w:rsidR="00DC6553" w:rsidRDefault="00DC655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D3E8F53" w14:textId="77777777" w:rsidR="00DC6553" w:rsidRDefault="00DC655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91B4D" w14:textId="77777777" w:rsidR="00712CA7" w:rsidRDefault="00712CA7" w:rsidP="00DC6553">
      <w:r>
        <w:separator/>
      </w:r>
    </w:p>
  </w:footnote>
  <w:footnote w:type="continuationSeparator" w:id="0">
    <w:p w14:paraId="304CA8CA" w14:textId="77777777" w:rsidR="00712CA7" w:rsidRDefault="00712CA7" w:rsidP="00DC65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98C"/>
    <w:rsid w:val="0001683B"/>
    <w:rsid w:val="00066728"/>
    <w:rsid w:val="0009063D"/>
    <w:rsid w:val="000D3912"/>
    <w:rsid w:val="00120BA2"/>
    <w:rsid w:val="001465DC"/>
    <w:rsid w:val="0018645F"/>
    <w:rsid w:val="00247A45"/>
    <w:rsid w:val="0025498C"/>
    <w:rsid w:val="0028097B"/>
    <w:rsid w:val="002861D8"/>
    <w:rsid w:val="002C5D1A"/>
    <w:rsid w:val="002E08E2"/>
    <w:rsid w:val="002F120F"/>
    <w:rsid w:val="003A5586"/>
    <w:rsid w:val="00494EDE"/>
    <w:rsid w:val="004A5675"/>
    <w:rsid w:val="004A7BE1"/>
    <w:rsid w:val="00523273"/>
    <w:rsid w:val="006849A2"/>
    <w:rsid w:val="00712CA7"/>
    <w:rsid w:val="008421AA"/>
    <w:rsid w:val="0089028B"/>
    <w:rsid w:val="008D5554"/>
    <w:rsid w:val="00922E33"/>
    <w:rsid w:val="0092307D"/>
    <w:rsid w:val="00A64A31"/>
    <w:rsid w:val="00A94556"/>
    <w:rsid w:val="00AA515D"/>
    <w:rsid w:val="00AE55F2"/>
    <w:rsid w:val="00CD098D"/>
    <w:rsid w:val="00D34174"/>
    <w:rsid w:val="00D67910"/>
    <w:rsid w:val="00DC6553"/>
    <w:rsid w:val="00DF5BC4"/>
    <w:rsid w:val="00E665B4"/>
    <w:rsid w:val="00E711AE"/>
    <w:rsid w:val="00E867E5"/>
    <w:rsid w:val="00EE2785"/>
    <w:rsid w:val="00EF2FF5"/>
    <w:rsid w:val="00F1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665A93"/>
  <w15:chartTrackingRefBased/>
  <w15:docId w15:val="{3A0097B8-C9AF-4A72-9386-886639B99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k02">
    <w:name w:val="k02"/>
    <w:basedOn w:val="a"/>
    <w:rsid w:val="004A7BE1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</w:tabs>
      <w:overflowPunct w:val="0"/>
      <w:autoSpaceDE w:val="0"/>
      <w:autoSpaceDN w:val="0"/>
      <w:adjustRightInd w:val="0"/>
      <w:snapToGrid w:val="0"/>
      <w:spacing w:line="450" w:lineRule="exact"/>
      <w:ind w:firstLine="567"/>
      <w:jc w:val="both"/>
      <w:textAlignment w:val="center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styleId="a3">
    <w:name w:val="header"/>
    <w:basedOn w:val="a"/>
    <w:link w:val="a4"/>
    <w:uiPriority w:val="99"/>
    <w:unhideWhenUsed/>
    <w:rsid w:val="00DC65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655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65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65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C97BA-61F9-4EAB-BD4D-30AD0B368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黃于珊</cp:lastModifiedBy>
  <cp:revision>3</cp:revision>
  <dcterms:created xsi:type="dcterms:W3CDTF">2026-10-21T09:35:00Z</dcterms:created>
  <dcterms:modified xsi:type="dcterms:W3CDTF">2026-10-21T09:36:00Z</dcterms:modified>
</cp:coreProperties>
</file>